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Suffrage Protests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           Name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                 Institution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160"/>
        <w:ind w:right="0" w:firstLine="0"/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                                         </w:t>
      </w: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 Suffrage Protests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 xml:space="preserve">Introduction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    The strategy of non violent protests has been used by various parties throughout history at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times successfully. The Suffrage Protests are no exception. The suffrage protests were organized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by women in 1913 and they led to a constitutional amendment allowing women to vote in all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public elections. It was the first time this was happening in America.The women had been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advocating for suffrage for more than sixty years and the event led to massive changes in the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way women were treated politically.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b w:val="1"/>
          <w:color w:val="000000"/>
          <w:sz w:val="24"/>
          <w:szCs w:val="24"/>
          <w:rFonts w:ascii="Times New Roman" w:eastAsia="Times New Roman" w:hAnsi="Times New Roman" w:hint="default"/>
        </w:rPr>
        <w:t>Discussion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    The movement’s leader was Alice Paul who was part of the National American Woman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Suffrage Association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Romano &amp; Potter, 2018).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She led a huge parade of 5000 women while riding a white horse. It was held on March 3,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1913 in Washington D.C,and this date was strategic to the women because it was a day before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the inauguration of a new president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Gail,2003)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.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The huge parade of women marched peacefully but were met with hostile crowds. More than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 hundred women were injured in the process (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Woody,2007)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.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The women just marched on and presented their petition which was well received and led to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 constitutional amendment,allowing women to vote (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>Robnett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>,1996).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vertAlign w:val="baseline"/>
          <w:b w:val="1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1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>Conclusion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       Since then women have made great strides politically,becoming leaders in various capacities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and voting in large numbers. This is as a result of the efforts of the first female suffrage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protestors and the ultimate response by the government of the time. The same effort has been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made for equality of women in other places of life including business,property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acquisition,sports,political leadership and religion.At work the same efforts are being made with </w:t>
      </w:r>
      <w:r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t xml:space="preserve">regards to equal pay for women and opportunities for promotion.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        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</w:t>
      </w: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</w:p>
    <w:p>
      <w:pPr>
        <w:pStyle w:val="PO5"/>
        <w:numPr>
          <w:ilvl w:val="0"/>
          <w:numId w:val="0"/>
        </w:numPr>
        <w:jc w:val="left"/>
        <w:spacing w:lineRule="auto" w:line="480" w:before="0" w:after="0"/>
        <w:ind w:right="0" w:firstLine="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                                                  References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600" w:hanging="60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Gail Collins,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America’s Women: 400 Years of Dolls, Drudges, Helpmates, and Heroines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(New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York, NY: Harper Perennial, 2003), 34. 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600" w:hanging="60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Woody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Holton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, “Abigail Adams, Bond Speculator,” in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The William and Mary Quarterly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, Third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Series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Vol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. 64. No. 4 (October 2007), 823.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left="480" w:hanging="480"/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Renee C. Romano and Claire Bond Potter, eds.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Historians on Hamilton : How a Blockbuster </w:t>
      </w:r>
      <w:r>
        <w:rPr>
          <w:spacing w:val="0"/>
          <w:i w:val="1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Musical Is Restaging America's Past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. New Brunswick: Rutgers University Press, 2018. 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ProQuest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>Ebook</w:t>
      </w:r>
      <w:r>
        <w:rPr>
          <w:spacing w:val="0"/>
          <w:i w:val="0"/>
          <w:b w:val="0"/>
          <w:color w:val="2D3B45"/>
          <w:sz w:val="24"/>
          <w:szCs w:val="24"/>
          <w:rFonts w:ascii="Times New Roman" w:eastAsia="Times New Roman" w:hAnsi="Times New Roman" w:hint="default"/>
        </w:rPr>
        <w:t xml:space="preserve"> Central.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color w:val="auto"/>
          <w:sz w:val="20"/>
          <w:szCs w:val="20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0"/>
          <w:szCs w:val="20"/>
          <w:rFonts w:ascii="Times New Roman" w:eastAsia="Times New Roman" w:hAnsi="Times New Roman" w:hint="default"/>
        </w:rPr>
        <w:br/>
      </w:r>
      <w:r>
        <w:rPr>
          <w:color w:val="auto"/>
          <w:sz w:val="20"/>
          <w:szCs w:val="20"/>
          <w:rFonts w:ascii="Times New Roman" w:eastAsia="Times New Roman" w:hAnsi="Times New Roman" w:hint="default"/>
        </w:rPr>
        <w:t xml:space="preserve">Robnett, B. (1996). African-American women in the civil rights movement, 1954-1965: Gender, leadership, and </w:t>
      </w:r>
      <w:r>
        <w:rPr>
          <w:color w:val="auto"/>
          <w:sz w:val="20"/>
          <w:szCs w:val="20"/>
          <w:rFonts w:ascii="Times New Roman" w:eastAsia="Times New Roman" w:hAnsi="Times New Roman" w:hint="default"/>
        </w:rPr>
        <w:t>micromobilization.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color w:val="auto"/>
          <w:sz w:val="20"/>
          <w:szCs w:val="20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0"/>
          <w:szCs w:val="20"/>
          <w:rFonts w:ascii="Times New Roman" w:eastAsia="Times New Roman" w:hAnsi="Times New Roman" w:hint="default"/>
        </w:rPr>
        <w:t xml:space="preserve">American Journal of Sociology ,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b w:val="0"/>
          <w:color w:val="auto"/>
          <w:sz w:val="24"/>
          <w:szCs w:val="24"/>
          <w:rFonts w:ascii="Times New Roman" w:eastAsia="Times New Roman" w:hAnsi="Times New Roman" w:hint="default"/>
        </w:rPr>
        <w:wordWrap w:val="off"/>
        <w:autoSpaceDE w:val="1"/>
        <w:autoSpaceDN w:val="1"/>
      </w:pPr>
      <w:r>
        <w:rPr>
          <w:color w:val="auto"/>
          <w:sz w:val="20"/>
          <w:szCs w:val="20"/>
          <w:rFonts w:ascii="Times New Roman" w:eastAsia="Times New Roman" w:hAnsi="Times New Roman" w:hint="default"/>
        </w:rPr>
        <w:t xml:space="preserve">101(6), 1661-1693.</w:t>
      </w:r>
    </w:p>
    <w:p>
      <w:pPr>
        <w:pStyle w:val="PO5"/>
        <w:numPr>
          <w:ilvl w:val="0"/>
          <w:numId w:val="0"/>
        </w:numPr>
        <w:jc w:val="left"/>
        <w:spacing w:lineRule="auto" w:line="480" w:before="180" w:after="180"/>
        <w:ind w:right="0" w:firstLine="0"/>
        <w:rPr>
          <w:spacing w:val="0"/>
          <w:vertAlign w:val="baseline"/>
          <w:b w:val="0"/>
          <w:color w:val="auto"/>
          <w:position w:val="0"/>
          <w:sz w:val="24"/>
          <w:szCs w:val="24"/>
          <w:smallCaps w:val="0"/>
          <w:rFonts w:ascii="Times New Roman" w:eastAsia="Times New Roman" w:hAnsi="Times New Roman" w:hint="default"/>
        </w:rPr>
        <w:wordWrap w:val="off"/>
        <w:autoSpaceDE w:val="1"/>
        <w:autoSpaceDN w:val="1"/>
      </w:pPr>
    </w:p>
    <w:sectPr>
      <w:titlePg/>
      <w:headerReference w:type="default" r:id="rId5"/>
      <w:footerReference w:type="default" r:id="rId6"/>
      <w:headerReference w:type="first" r:id="rId7"/>
      <w:footerReference w:type="first" r:id="rId8"/>
      <w:pgSz w:w="12240" w:h="15840"/>
      <w:pgMar w:top="1440" w:left="1440" w:bottom="1440" w:right="1440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Segoe UI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right="0" w:firstLine="0"/>
      <w:rPr>
        <w:color w:val="auto"/>
        <w:sz w:val="22"/>
        <w:szCs w:val="22"/>
        <w:rFonts w:ascii="NanumGothic" w:eastAsia="NanumGothic" w:hAnsi="NanumGothic" w:hint="default"/>
      </w:rPr>
      <w:wordWrap w:val="off"/>
      <w:autoSpaceDE w:val="1"/>
      <w:autoSpaceDN w:val="1"/>
    </w:pPr>
  </w:p>
</w:ft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SUFFRAGE PROTESTS                                                                                             </w:t>
    </w:r>
    <w:r>
      <w:rPr>
        <w:color w:val="auto"/>
        <w:sz w:val="22"/>
        <w:szCs w:val="22"/>
        <w:rFonts w:ascii="Calibri" w:eastAsia="Calibri" w:hAnsi="Calibri" w:hint="default"/>
      </w:rPr>
      <w:fldChar w:fldCharType="begin"/>
    </w:r>
    <w:r>
      <w:instrText>PAGE  \* MERGEFORMAT</w:instrText>
    </w:r>
    <w:r>
      <w:fldChar w:fldCharType="separate"/>
    </w:r>
    <w:r>
      <w:rPr>
        <w:color w:val="auto"/>
        <w:sz w:val="24"/>
        <w:szCs w:val="24"/>
        <w:rFonts w:ascii="Times New Roman" w:eastAsia="Times New Roman" w:hAnsi="Times New Roman" w:hint="default"/>
      </w:rPr>
      <w:t>2</w:t>
    </w:r>
    <w:r>
      <w:rPr>
        <w:color w:val="auto"/>
        <w:sz w:val="24"/>
        <w:szCs w:val="24"/>
        <w:rFonts w:ascii="Times New Roman" w:eastAsia="Times New Roman" w:hAnsi="Times New Roman" w:hint="default"/>
      </w:rPr>
      <w:fldChar w:fldCharType="end"/>
    </w:r>
  </w:p>
  <w:p>
    <w:pPr>
      <w:pStyle w:val="PO159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center" w:pos="4680"/>
        <w:tab w:val="right" w:pos="9360"/>
      </w:tabs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5"/>
      <w:numPr>
        <w:ilvl w:val="0"/>
        <w:numId w:val="0"/>
      </w:numPr>
      <w:jc w:val="left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  <w:r>
      <w:rPr>
        <w:color w:val="auto"/>
        <w:sz w:val="24"/>
        <w:szCs w:val="24"/>
        <w:rFonts w:ascii="Times New Roman" w:eastAsia="Times New Roman" w:hAnsi="Times New Roman" w:hint="default"/>
      </w:rPr>
      <w:t xml:space="preserve">Running head:SUFFRAGE PROTESTS </w:t>
    </w: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  <w:p>
    <w:pPr>
      <w:pStyle w:val="PO5"/>
      <w:numPr>
        <w:ilvl w:val="0"/>
        <w:numId w:val="0"/>
      </w:numPr>
      <w:jc w:val="center"/>
      <w:spacing w:lineRule="auto" w:line="480" w:before="0" w:after="0"/>
      <w:ind w:right="0" w:firstLine="0"/>
      <w:rPr>
        <w:color w:val="auto"/>
        <w:sz w:val="24"/>
        <w:szCs w:val="24"/>
        <w:rFonts w:ascii="Times New Roman" w:eastAsia="Times New Roman" w:hAnsi="Times New Roman" w:hint="default"/>
      </w:rPr>
      <w:autoSpaceDE w:val="1"/>
      <w:autoSpaceDN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multilevel"/>
    <w:nsid w:val="2F000000"/>
    <w:tmpl w:val="3FC87365"/>
    <w:lvl w:ilvl="0">
      <w:lvlJc w:val="left"/>
      <w:numFmt w:val="decimal"/>
      <w:start w:val="1"/>
      <w:suff w:val="tab"/>
      <w:pPr>
        <w:ind w:left="360" w:hanging="360"/>
        <w:jc w:val="both"/>
      </w:pPr>
      <w:lvlText w:val="%1.0"/>
    </w:lvl>
    <w:lvl w:ilvl="1">
      <w:lvlJc w:val="left"/>
      <w:numFmt w:val="decimal"/>
      <w:start w:val="1"/>
      <w:suff w:val="tab"/>
      <w:pPr>
        <w:ind w:left="1080" w:hanging="360"/>
        <w:jc w:val="both"/>
      </w:pPr>
      <w:lvlText w:val="%1.%2"/>
    </w:lvl>
    <w:lvl w:ilvl="2">
      <w:lvlJc w:val="left"/>
      <w:numFmt w:val="decimal"/>
      <w:start w:val="1"/>
      <w:suff w:val="tab"/>
      <w:pPr>
        <w:ind w:left="2160" w:hanging="720"/>
        <w:jc w:val="both"/>
      </w:pPr>
      <w:lvlText w:val="%1.%2.%3"/>
    </w:lvl>
    <w:lvl w:ilvl="3">
      <w:lvlJc w:val="left"/>
      <w:numFmt w:val="decimal"/>
      <w:start w:val="1"/>
      <w:suff w:val="tab"/>
      <w:pPr>
        <w:ind w:left="2880" w:hanging="720"/>
        <w:jc w:val="both"/>
      </w:pPr>
      <w:lvlText w:val="%1.%2.%3.%4"/>
    </w:lvl>
    <w:lvl w:ilvl="4">
      <w:lvlJc w:val="left"/>
      <w:numFmt w:val="decimal"/>
      <w:start w:val="1"/>
      <w:suff w:val="tab"/>
      <w:pPr>
        <w:ind w:left="3960" w:hanging="1080"/>
        <w:jc w:val="both"/>
      </w:pPr>
      <w:lvlText w:val="%1.%2.%3.%4.%5"/>
    </w:lvl>
    <w:lvl w:ilvl="5">
      <w:lvlJc w:val="left"/>
      <w:numFmt w:val="decimal"/>
      <w:start w:val="1"/>
      <w:suff w:val="tab"/>
      <w:pPr>
        <w:ind w:left="4680" w:hanging="1080"/>
        <w:jc w:val="both"/>
      </w:pPr>
      <w:lvlText w:val="%1.%2.%3.%4.%5.%6"/>
    </w:lvl>
    <w:lvl w:ilvl="6">
      <w:lvlJc w:val="left"/>
      <w:numFmt w:val="decimal"/>
      <w:start w:val="1"/>
      <w:suff w:val="tab"/>
      <w:pPr>
        <w:ind w:left="5760" w:hanging="1440"/>
        <w:jc w:val="both"/>
      </w:pPr>
      <w:lvlText w:val="%1.%2.%3.%4.%5.%6.%7"/>
    </w:lvl>
    <w:lvl w:ilvl="7">
      <w:lvlJc w:val="left"/>
      <w:numFmt w:val="decimal"/>
      <w:start w:val="1"/>
      <w:suff w:val="tab"/>
      <w:pPr>
        <w:ind w:left="6480" w:hanging="1440"/>
        <w:jc w:val="both"/>
      </w:pPr>
      <w:lvlText w:val="%1.%2.%3.%4.%5.%6.%7.%8"/>
    </w:lvl>
    <w:lvl w:ilvl="8">
      <w:lvlJc w:val="left"/>
      <w:numFmt w:val="decimal"/>
      <w:start w:val="1"/>
      <w:suff w:val="tab"/>
      <w:pPr>
        <w:ind w:left="7200" w:hanging="1440"/>
        <w:jc w:val="both"/>
      </w:pPr>
      <w:lvlText w:val="%1.%2.%3.%4.%5.%6.%7.%8.%9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basedOn w:val="PO3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qFormat/>
    <w:uiPriority w:val="5"/>
    <w:pPr>
      <w:autoSpaceDE w:val="1"/>
      <w:autoSpaceDN w:val="1"/>
      <w:ind w:firstLine="0"/>
      <w:widowControl/>
      <w:wordWrap/>
    </w:pPr>
  </w:style>
  <w:style w:styleId="PO26" w:type="paragraph">
    <w:name w:val="List Paragraph"/>
    <w:basedOn w:val="PO1"/>
    <w:qFormat/>
    <w:uiPriority w:val="26"/>
    <w:pPr>
      <w:autoSpaceDE w:val="1"/>
      <w:autoSpaceDN w:val="1"/>
      <w:ind w:left="720" w:firstLine="0"/>
      <w:widowControl/>
      <w:wordWrap/>
    </w:p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character">
    <w:name w:val="annotation reference"/>
    <w:basedOn w:val="PO2"/>
    <w:uiPriority w:val="152"/>
    <w:semiHidden/>
    <w:unhideWhenUsed/>
    <w:rPr>
      <w:shd w:val="clear"/>
      <w:sz w:val="16"/>
      <w:szCs w:val="16"/>
      <w:w w:val="100"/>
    </w:rPr>
  </w:style>
  <w:style w:styleId="PO153" w:type="paragraph">
    <w:name w:val="annotation text"/>
    <w:basedOn w:val="PO1"/>
    <w:link w:val="PO154"/>
    <w:uiPriority w:val="153"/>
    <w:semiHidden/>
    <w:unhideWhenUsed/>
    <w:pPr>
      <w:autoSpaceDE w:val="1"/>
      <w:autoSpaceDN w:val="1"/>
      <w:widowControl/>
      <w:wordWrap/>
    </w:pPr>
    <w:rPr>
      <w:shd w:val="clear"/>
      <w:sz w:val="20"/>
      <w:szCs w:val="20"/>
      <w:w w:val="100"/>
    </w:rPr>
  </w:style>
  <w:style w:customStyle="1" w:styleId="PO154" w:type="character">
    <w:name w:val="Comment Text Char"/>
    <w:basedOn w:val="PO2"/>
    <w:link w:val="PO153"/>
    <w:uiPriority w:val="154"/>
    <w:semiHidden/>
    <w:rPr>
      <w:shd w:val="clear"/>
      <w:sz w:val="20"/>
      <w:szCs w:val="20"/>
      <w:w w:val="100"/>
    </w:rPr>
  </w:style>
  <w:style w:styleId="PO155" w:type="paragraph">
    <w:name w:val="annotation subject"/>
    <w:basedOn w:val="PO153"/>
    <w:next w:val="PO153"/>
    <w:link w:val="PO156"/>
    <w:uiPriority w:val="155"/>
    <w:semiHidden/>
    <w:unhideWhenUsed/>
    <w:rPr>
      <w:b/>
      <w:shd w:val="clear"/>
      <w:sz w:val="20"/>
      <w:szCs w:val="20"/>
      <w:w w:val="100"/>
    </w:rPr>
  </w:style>
  <w:style w:customStyle="1" w:styleId="PO156" w:type="character">
    <w:name w:val="Comment Subject Char"/>
    <w:basedOn w:val="PO154"/>
    <w:link w:val="PO155"/>
    <w:uiPriority w:val="156"/>
    <w:semiHidden/>
    <w:rPr>
      <w:b/>
      <w:shd w:val="clear"/>
      <w:sz w:val="20"/>
      <w:szCs w:val="20"/>
      <w:w w:val="100"/>
    </w:rPr>
  </w:style>
  <w:style w:styleId="PO157" w:type="paragraph">
    <w:name w:val="Balloon Text"/>
    <w:basedOn w:val="PO1"/>
    <w:link w:val="PO158"/>
    <w:uiPriority w:val="157"/>
    <w:semiHidden/>
    <w:unhideWhenUsed/>
    <w:pPr>
      <w:autoSpaceDE w:val="1"/>
      <w:autoSpaceDN w:val="1"/>
      <w:widowControl/>
      <w:wordWrap/>
    </w:pPr>
    <w:rPr>
      <w:rFonts w:ascii="Segoe UI" w:eastAsia="Segoe UI" w:hAnsi="Segoe UI"/>
      <w:shd w:val="clear"/>
      <w:sz w:val="18"/>
      <w:szCs w:val="18"/>
      <w:w w:val="100"/>
    </w:rPr>
  </w:style>
  <w:style w:customStyle="1" w:styleId="PO158" w:type="character">
    <w:name w:val="Balloon Text Char"/>
    <w:basedOn w:val="PO2"/>
    <w:link w:val="PO157"/>
    <w:uiPriority w:val="158"/>
    <w:semiHidden/>
    <w:rPr>
      <w:rFonts w:ascii="Segoe UI" w:eastAsia="Segoe UI" w:hAnsi="Segoe UI"/>
      <w:shd w:val="clear"/>
      <w:sz w:val="18"/>
      <w:szCs w:val="18"/>
      <w:w w:val="100"/>
    </w:rPr>
  </w:style>
  <w:style w:styleId="PO159" w:type="paragraph">
    <w:name w:val="header"/>
    <w:basedOn w:val="PO1"/>
    <w:link w:val="PO160"/>
    <w:uiPriority w:val="159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60" w:type="character">
    <w:name w:val="Header Char"/>
    <w:basedOn w:val="PO2"/>
    <w:link w:val="PO159"/>
    <w:uiPriority w:val="160"/>
  </w:style>
  <w:style w:styleId="PO161" w:type="paragraph">
    <w:name w:val="footer"/>
    <w:basedOn w:val="PO1"/>
    <w:link w:val="PO162"/>
    <w:uiPriority w:val="161"/>
    <w:unhideWhenUsed/>
    <w:pPr>
      <w:autoSpaceDE w:val="1"/>
      <w:autoSpaceDN w:val="1"/>
      <w:tabs>
        <w:tab w:val="center" w:pos="4680"/>
        <w:tab w:val="right" w:pos="9360"/>
      </w:tabs>
      <w:widowControl/>
      <w:wordWrap/>
    </w:pPr>
  </w:style>
  <w:style w:customStyle="1" w:styleId="PO162" w:type="character">
    <w:name w:val="Footer Char"/>
    <w:basedOn w:val="PO2"/>
    <w:link w:val="PO161"/>
    <w:uiPriority w:val="162"/>
  </w:style>
  <w:style w:customStyle="1" w:styleId="PO163" w:type="paragraph">
    <w:name w:val="ParaAttribute5"/>
    <w:uiPriority w:val="163"/>
    <w:pPr>
      <w:autoSpaceDE w:val="1"/>
      <w:autoSpaceDN w:val="1"/>
      <w:ind w:firstLine="720"/>
      <w:widowControl/>
      <w:wordWrap/>
    </w:pPr>
    <w:rPr>
      <w:rFonts w:ascii="NanumGothic" w:eastAsia="NanumGothic" w:hAnsi="NanumGothic"/>
      <w:shd w:val="clear"/>
      <w:sz w:val="20"/>
      <w:szCs w:val="2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footer" Target="footer4.xml"></Relationship><Relationship Id="rId7" Type="http://schemas.openxmlformats.org/officeDocument/2006/relationships/header" Target="header3.xml"></Relationship><Relationship Id="rId8" Type="http://schemas.openxmlformats.org/officeDocument/2006/relationships/footer" Target="footer5.xml"></Relationship><Relationship Id="rId9" Type="http://schemas.openxmlformats.org/officeDocument/2006/relationships/numbering" Target="numbering.xml"></Relationship><Relationship Id="rId10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86</Lines>
  <LinksUpToDate>false</LinksUpToDate>
  <Pages>4</Pages>
  <Paragraphs>24</Paragraphs>
  <Words>1816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teddy</dc:creator>
  <cp:lastModifiedBy/>
  <dcterms:modified xsi:type="dcterms:W3CDTF">2019-07-02T17:45:00Z</dcterms:modified>
</cp:coreProperties>
</file>